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62C4" w14:textId="77777777" w:rsidR="00E70F20" w:rsidRPr="009F68E3" w:rsidRDefault="00E70F20" w:rsidP="00E70F20">
      <w:pPr>
        <w:spacing w:after="0" w:line="276" w:lineRule="auto"/>
        <w:jc w:val="center"/>
        <w:rPr>
          <w:rFonts w:ascii="Times New Roman" w:hAnsi="Times New Roman" w:cs="Times New Roman"/>
          <w:b/>
          <w:color w:val="000000" w:themeColor="text1"/>
          <w:sz w:val="24"/>
          <w:szCs w:val="24"/>
        </w:rPr>
      </w:pPr>
      <w:r w:rsidRPr="009F68E3">
        <w:rPr>
          <w:rFonts w:ascii="Times New Roman" w:hAnsi="Times New Roman" w:cs="Times New Roman"/>
          <w:b/>
          <w:color w:val="000000" w:themeColor="text1"/>
          <w:sz w:val="24"/>
          <w:szCs w:val="24"/>
        </w:rPr>
        <w:t>3</w:t>
      </w:r>
      <w:r w:rsidRPr="009F68E3">
        <w:rPr>
          <w:rFonts w:ascii="Times New Roman" w:hAnsi="Times New Roman" w:cs="Times New Roman"/>
          <w:b/>
          <w:color w:val="000000" w:themeColor="text1"/>
          <w:sz w:val="24"/>
          <w:szCs w:val="24"/>
          <w:vertAlign w:val="superscript"/>
        </w:rPr>
        <w:t>rd</w:t>
      </w:r>
      <w:r w:rsidRPr="009F68E3">
        <w:rPr>
          <w:rFonts w:ascii="Times New Roman" w:hAnsi="Times New Roman" w:cs="Times New Roman"/>
          <w:b/>
          <w:color w:val="000000" w:themeColor="text1"/>
          <w:sz w:val="24"/>
          <w:szCs w:val="24"/>
        </w:rPr>
        <w:t xml:space="preserve"> edition of Summit “Global Chemicals and Petrochemicals Manufacturing Hubs in India” </w:t>
      </w:r>
    </w:p>
    <w:p w14:paraId="13DEC928" w14:textId="77777777" w:rsidR="00E70F20" w:rsidRDefault="00E70F20" w:rsidP="00E70F20">
      <w:pPr>
        <w:spacing w:after="0" w:line="276" w:lineRule="auto"/>
        <w:jc w:val="center"/>
        <w:rPr>
          <w:rFonts w:ascii="Times New Roman" w:hAnsi="Times New Roman" w:cs="Times New Roman"/>
          <w:color w:val="000000" w:themeColor="text1"/>
          <w:sz w:val="24"/>
          <w:szCs w:val="24"/>
        </w:rPr>
      </w:pPr>
    </w:p>
    <w:p w14:paraId="64D7AFBD" w14:textId="77777777" w:rsidR="00E70F20" w:rsidRPr="00C43354" w:rsidRDefault="00E70F20" w:rsidP="00E70F20">
      <w:pPr>
        <w:spacing w:after="0" w:line="276" w:lineRule="auto"/>
        <w:jc w:val="center"/>
        <w:rPr>
          <w:rFonts w:ascii="Times New Roman" w:hAnsi="Times New Roman" w:cs="Times New Roman"/>
          <w:b/>
          <w:sz w:val="24"/>
          <w:szCs w:val="24"/>
        </w:rPr>
      </w:pPr>
      <w:r w:rsidRPr="00C43354">
        <w:rPr>
          <w:rFonts w:ascii="Times New Roman" w:hAnsi="Times New Roman" w:cs="Times New Roman"/>
          <w:b/>
          <w:sz w:val="24"/>
          <w:szCs w:val="24"/>
        </w:rPr>
        <w:t xml:space="preserve">Brief Note </w:t>
      </w:r>
    </w:p>
    <w:p w14:paraId="417DC5F1" w14:textId="77777777" w:rsidR="00E70F20" w:rsidRDefault="00E70F20" w:rsidP="00E70F2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11F980E" w14:textId="77777777" w:rsidR="00E70F20" w:rsidRPr="00A56BE1" w:rsidRDefault="00E70F20" w:rsidP="00E70F20">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Pr="00A56BE1">
        <w:rPr>
          <w:rFonts w:ascii="Times New Roman" w:hAnsi="Times New Roman" w:cs="Times New Roman"/>
          <w:sz w:val="24"/>
          <w:szCs w:val="24"/>
        </w:rPr>
        <w:t xml:space="preserve">he Department of Chemicals &amp; Petrochemicals, Ministry of Chemicals &amp; Fertilizers, Government of India, in association with Federation of Indian Chambers of Commerce and Industry (FICCI), is organizing </w:t>
      </w:r>
      <w:r w:rsidRPr="00A56BE1">
        <w:rPr>
          <w:rFonts w:ascii="Times New Roman" w:hAnsi="Times New Roman" w:cs="Times New Roman"/>
          <w:color w:val="000000" w:themeColor="text1"/>
          <w:sz w:val="24"/>
          <w:szCs w:val="24"/>
        </w:rPr>
        <w:t>the “3</w:t>
      </w:r>
      <w:r w:rsidRPr="00A56BE1">
        <w:rPr>
          <w:rFonts w:ascii="Times New Roman" w:hAnsi="Times New Roman" w:cs="Times New Roman"/>
          <w:color w:val="000000" w:themeColor="text1"/>
          <w:sz w:val="24"/>
          <w:szCs w:val="24"/>
          <w:vertAlign w:val="superscript"/>
        </w:rPr>
        <w:t>rd</w:t>
      </w:r>
      <w:r w:rsidRPr="00A56BE1">
        <w:rPr>
          <w:rFonts w:ascii="Times New Roman" w:hAnsi="Times New Roman" w:cs="Times New Roman"/>
          <w:color w:val="000000" w:themeColor="text1"/>
          <w:sz w:val="24"/>
          <w:szCs w:val="24"/>
        </w:rPr>
        <w:t> edition of the Summit Global Chemicals and Petrochemicals Manufacturing Hubs in India” (GCPMH 2023) on 27</w:t>
      </w:r>
      <w:r w:rsidRPr="00A56BE1">
        <w:rPr>
          <w:rFonts w:ascii="Times New Roman" w:hAnsi="Times New Roman" w:cs="Times New Roman"/>
          <w:color w:val="000000" w:themeColor="text1"/>
          <w:sz w:val="24"/>
          <w:szCs w:val="24"/>
          <w:vertAlign w:val="superscript"/>
        </w:rPr>
        <w:t>th</w:t>
      </w:r>
      <w:r w:rsidRPr="00A56BE1">
        <w:rPr>
          <w:rFonts w:ascii="Times New Roman" w:hAnsi="Times New Roman" w:cs="Times New Roman"/>
          <w:color w:val="000000" w:themeColor="text1"/>
          <w:sz w:val="24"/>
          <w:szCs w:val="24"/>
        </w:rPr>
        <w:t> – 28</w:t>
      </w:r>
      <w:r w:rsidRPr="00A56BE1">
        <w:rPr>
          <w:rFonts w:ascii="Times New Roman" w:hAnsi="Times New Roman" w:cs="Times New Roman"/>
          <w:color w:val="000000" w:themeColor="text1"/>
          <w:sz w:val="24"/>
          <w:szCs w:val="24"/>
          <w:vertAlign w:val="superscript"/>
        </w:rPr>
        <w:t>th</w:t>
      </w:r>
      <w:r w:rsidRPr="00A56BE1">
        <w:rPr>
          <w:rFonts w:ascii="Times New Roman" w:hAnsi="Times New Roman" w:cs="Times New Roman"/>
          <w:color w:val="000000" w:themeColor="text1"/>
          <w:sz w:val="24"/>
          <w:szCs w:val="24"/>
        </w:rPr>
        <w:t> July 2023 at Hotel Le Meridien, New Delhi</w:t>
      </w:r>
      <w:r>
        <w:rPr>
          <w:rFonts w:ascii="Times New Roman" w:hAnsi="Times New Roman" w:cs="Times New Roman"/>
          <w:color w:val="000000" w:themeColor="text1"/>
          <w:sz w:val="24"/>
          <w:szCs w:val="24"/>
        </w:rPr>
        <w:t>.</w:t>
      </w:r>
      <w:r w:rsidRPr="00A56BE1">
        <w:rPr>
          <w:rFonts w:ascii="Times New Roman" w:hAnsi="Times New Roman" w:cs="Times New Roman"/>
          <w:color w:val="000000" w:themeColor="text1"/>
          <w:sz w:val="24"/>
          <w:szCs w:val="24"/>
        </w:rPr>
        <w:t xml:space="preserve"> </w:t>
      </w:r>
    </w:p>
    <w:p w14:paraId="0418FAFA" w14:textId="77777777" w:rsidR="00E70F20" w:rsidRPr="00140CF0" w:rsidRDefault="00E70F20" w:rsidP="00E70F20">
      <w:pPr>
        <w:pStyle w:val="NormalWeb"/>
        <w:shd w:val="clear" w:color="auto" w:fill="FFFFFF"/>
        <w:spacing w:before="0" w:beforeAutospacing="0" w:after="0" w:afterAutospacing="0"/>
        <w:jc w:val="both"/>
        <w:rPr>
          <w:color w:val="000000" w:themeColor="text1"/>
        </w:rPr>
      </w:pPr>
      <w:r w:rsidRPr="00140CF0">
        <w:rPr>
          <w:color w:val="000000" w:themeColor="text1"/>
        </w:rPr>
        <w:t> </w:t>
      </w:r>
    </w:p>
    <w:p w14:paraId="4D60EA8A" w14:textId="77777777" w:rsidR="00E70F20" w:rsidRPr="009F68E3" w:rsidRDefault="00E70F20" w:rsidP="00E70F20">
      <w:pPr>
        <w:pStyle w:val="NormalWeb"/>
        <w:shd w:val="clear" w:color="auto" w:fill="FFFFFF"/>
        <w:spacing w:before="0" w:beforeAutospacing="0" w:after="0" w:afterAutospacing="0" w:line="276" w:lineRule="auto"/>
        <w:jc w:val="both"/>
      </w:pPr>
      <w:r w:rsidRPr="00140CF0">
        <w:rPr>
          <w:color w:val="000000" w:themeColor="text1"/>
        </w:rPr>
        <w:t>2.</w:t>
      </w:r>
      <w:r w:rsidRPr="00140CF0">
        <w:rPr>
          <w:color w:val="000000" w:themeColor="text1"/>
        </w:rPr>
        <w:tab/>
        <w:t>The chemical and petrochemical industry is a key contributor to the social and economic development of our country. The chemical industry is a knowledge intensive as well as capital intensive industry and occupies a pivotal position in meeting basic needs and improving quality of life. The industry is the main stay of industrial and agricultural development of the country and provides key building blocks to several downstream industries. </w:t>
      </w:r>
      <w:r w:rsidRPr="00B32174">
        <w:t>It is pertinent to mention that India has emerged as one of the favorite destination for investment in chemical and petrochemical sector.</w:t>
      </w:r>
      <w:r>
        <w:t xml:space="preserve"> </w:t>
      </w:r>
      <w:r w:rsidRPr="00B32174">
        <w:t>The trend of FDI in Chemical Sector (other than Fertilizer) during last three year is summarized below:-</w:t>
      </w:r>
    </w:p>
    <w:p w14:paraId="1A127FEF" w14:textId="77777777" w:rsidR="00E70F20" w:rsidRPr="00B32174" w:rsidRDefault="00E70F20" w:rsidP="00E70F20">
      <w:pPr>
        <w:spacing w:after="0" w:line="256" w:lineRule="auto"/>
        <w:jc w:val="both"/>
        <w:rPr>
          <w:rFonts w:ascii="Calibri" w:eastAsia="Times New Roman" w:hAnsi="Calibri" w:cs="Calibri"/>
        </w:rPr>
      </w:pPr>
      <w:r w:rsidRPr="00B32174">
        <w:rPr>
          <w:rFonts w:ascii="Times New Roman" w:eastAsia="Times New Roman" w:hAnsi="Times New Roman" w:cs="Times New Roman"/>
          <w:sz w:val="24"/>
          <w:szCs w:val="24"/>
        </w:rPr>
        <w:t> </w:t>
      </w:r>
    </w:p>
    <w:tbl>
      <w:tblPr>
        <w:tblW w:w="4902" w:type="dxa"/>
        <w:tblInd w:w="7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2"/>
        <w:gridCol w:w="1890"/>
        <w:gridCol w:w="1800"/>
      </w:tblGrid>
      <w:tr w:rsidR="00E70F20" w:rsidRPr="00B32174" w14:paraId="7A696689" w14:textId="77777777" w:rsidTr="00680A7E">
        <w:trPr>
          <w:trHeight w:val="270"/>
        </w:trPr>
        <w:tc>
          <w:tcPr>
            <w:tcW w:w="1212"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14:paraId="52C2B875" w14:textId="77777777" w:rsidR="00E70F20" w:rsidRPr="00B32174" w:rsidRDefault="00E70F20" w:rsidP="00680A7E">
            <w:pPr>
              <w:spacing w:after="0" w:line="276" w:lineRule="auto"/>
              <w:ind w:left="116" w:right="171"/>
              <w:jc w:val="center"/>
              <w:rPr>
                <w:rFonts w:ascii="Calibri" w:eastAsia="Times New Roman" w:hAnsi="Calibri" w:cs="Calibri"/>
              </w:rPr>
            </w:pPr>
            <w:r w:rsidRPr="00B32174">
              <w:rPr>
                <w:rFonts w:ascii="Times New Roman" w:eastAsia="Times New Roman" w:hAnsi="Times New Roman" w:cs="Times New Roman"/>
                <w:b/>
                <w:bCs/>
                <w:sz w:val="24"/>
                <w:szCs w:val="24"/>
              </w:rPr>
              <w:t>Year</w:t>
            </w:r>
          </w:p>
        </w:tc>
        <w:tc>
          <w:tcPr>
            <w:tcW w:w="1890"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14:paraId="132B4908" w14:textId="77777777" w:rsidR="00E70F20" w:rsidRPr="00B32174" w:rsidRDefault="00E70F20" w:rsidP="00680A7E">
            <w:pPr>
              <w:spacing w:after="0" w:line="276" w:lineRule="auto"/>
              <w:ind w:left="116" w:right="171"/>
              <w:jc w:val="center"/>
              <w:rPr>
                <w:rFonts w:ascii="Calibri" w:eastAsia="Times New Roman" w:hAnsi="Calibri" w:cs="Calibri"/>
              </w:rPr>
            </w:pPr>
            <w:r w:rsidRPr="00B32174">
              <w:rPr>
                <w:rFonts w:ascii="Times New Roman" w:eastAsia="Times New Roman" w:hAnsi="Times New Roman" w:cs="Times New Roman"/>
                <w:b/>
                <w:bCs/>
                <w:sz w:val="24"/>
                <w:szCs w:val="24"/>
              </w:rPr>
              <w:t>FDI in Rs. Cr.</w:t>
            </w:r>
          </w:p>
        </w:tc>
        <w:tc>
          <w:tcPr>
            <w:tcW w:w="1800"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14:paraId="7E9D7A4A" w14:textId="77777777" w:rsidR="00E70F20" w:rsidRPr="00B32174" w:rsidRDefault="00E70F20" w:rsidP="00680A7E">
            <w:pPr>
              <w:spacing w:after="0" w:line="240" w:lineRule="auto"/>
              <w:ind w:left="116" w:right="171"/>
              <w:jc w:val="center"/>
              <w:rPr>
                <w:rFonts w:ascii="Times New Roman" w:eastAsia="Times New Roman" w:hAnsi="Times New Roman" w:cs="Times New Roman"/>
                <w:sz w:val="24"/>
                <w:szCs w:val="24"/>
              </w:rPr>
            </w:pPr>
            <w:r w:rsidRPr="00B32174">
              <w:rPr>
                <w:rFonts w:ascii="Times New Roman" w:eastAsia="Times New Roman" w:hAnsi="Times New Roman" w:cs="Times New Roman"/>
                <w:b/>
                <w:bCs/>
                <w:sz w:val="24"/>
                <w:szCs w:val="24"/>
              </w:rPr>
              <w:t>Growth Rate (YoY)</w:t>
            </w:r>
          </w:p>
        </w:tc>
      </w:tr>
      <w:tr w:rsidR="00E70F20" w:rsidRPr="00B32174" w14:paraId="47A11335" w14:textId="77777777" w:rsidTr="00680A7E">
        <w:trPr>
          <w:trHeight w:val="270"/>
        </w:trPr>
        <w:tc>
          <w:tcPr>
            <w:tcW w:w="12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388F8723" w14:textId="77777777" w:rsidR="00E70F20" w:rsidRPr="00B32174" w:rsidRDefault="00E70F20" w:rsidP="00680A7E">
            <w:pPr>
              <w:spacing w:after="0" w:line="276" w:lineRule="auto"/>
              <w:ind w:left="116" w:right="171"/>
              <w:jc w:val="both"/>
              <w:rPr>
                <w:rFonts w:ascii="Calibri" w:eastAsia="Times New Roman" w:hAnsi="Calibri" w:cs="Calibri"/>
              </w:rPr>
            </w:pPr>
            <w:r w:rsidRPr="00B32174">
              <w:rPr>
                <w:rFonts w:ascii="Times New Roman" w:eastAsia="Times New Roman" w:hAnsi="Times New Roman" w:cs="Times New Roman"/>
                <w:sz w:val="24"/>
                <w:szCs w:val="24"/>
              </w:rPr>
              <w:t>2020-21</w:t>
            </w:r>
          </w:p>
        </w:tc>
        <w:tc>
          <w:tcPr>
            <w:tcW w:w="1890" w:type="dxa"/>
            <w:tcBorders>
              <w:top w:val="nil"/>
              <w:left w:val="nil"/>
              <w:bottom w:val="single" w:sz="8" w:space="0" w:color="auto"/>
              <w:right w:val="single" w:sz="8" w:space="0" w:color="auto"/>
            </w:tcBorders>
            <w:tcMar>
              <w:top w:w="0" w:type="dxa"/>
              <w:left w:w="15" w:type="dxa"/>
              <w:bottom w:w="0" w:type="dxa"/>
              <w:right w:w="15" w:type="dxa"/>
            </w:tcMar>
            <w:hideMark/>
          </w:tcPr>
          <w:p w14:paraId="75401CCF" w14:textId="77777777" w:rsidR="00E70F20" w:rsidRPr="00B32174" w:rsidRDefault="00E70F20" w:rsidP="00680A7E">
            <w:pPr>
              <w:spacing w:after="0" w:line="276" w:lineRule="auto"/>
              <w:ind w:left="116" w:right="171"/>
              <w:jc w:val="right"/>
              <w:rPr>
                <w:rFonts w:ascii="Calibri" w:eastAsia="Times New Roman" w:hAnsi="Calibri" w:cs="Calibri"/>
              </w:rPr>
            </w:pPr>
            <w:r w:rsidRPr="00B32174">
              <w:rPr>
                <w:rFonts w:ascii="Times New Roman" w:eastAsia="Times New Roman" w:hAnsi="Times New Roman" w:cs="Times New Roman"/>
                <w:sz w:val="24"/>
                <w:szCs w:val="24"/>
              </w:rPr>
              <w:t>6,300.00</w:t>
            </w:r>
          </w:p>
        </w:tc>
        <w:tc>
          <w:tcPr>
            <w:tcW w:w="1800" w:type="dxa"/>
            <w:tcBorders>
              <w:top w:val="nil"/>
              <w:left w:val="nil"/>
              <w:bottom w:val="single" w:sz="8" w:space="0" w:color="auto"/>
              <w:right w:val="single" w:sz="8" w:space="0" w:color="auto"/>
            </w:tcBorders>
            <w:tcMar>
              <w:top w:w="0" w:type="dxa"/>
              <w:left w:w="15" w:type="dxa"/>
              <w:bottom w:w="0" w:type="dxa"/>
              <w:right w:w="15" w:type="dxa"/>
            </w:tcMar>
            <w:vAlign w:val="center"/>
            <w:hideMark/>
          </w:tcPr>
          <w:p w14:paraId="379E1BE6" w14:textId="77777777" w:rsidR="00E70F20" w:rsidRPr="00B32174" w:rsidRDefault="00E70F20" w:rsidP="00680A7E">
            <w:pPr>
              <w:spacing w:after="0" w:line="276" w:lineRule="auto"/>
              <w:ind w:left="116" w:right="171"/>
              <w:jc w:val="center"/>
              <w:rPr>
                <w:rFonts w:ascii="Calibri" w:eastAsia="Times New Roman" w:hAnsi="Calibri" w:cs="Calibri"/>
              </w:rPr>
            </w:pPr>
            <w:r w:rsidRPr="00B32174">
              <w:rPr>
                <w:rFonts w:ascii="Times New Roman" w:eastAsia="Times New Roman" w:hAnsi="Times New Roman" w:cs="Times New Roman"/>
                <w:sz w:val="24"/>
                <w:szCs w:val="24"/>
              </w:rPr>
              <w:t>-</w:t>
            </w:r>
          </w:p>
        </w:tc>
      </w:tr>
      <w:tr w:rsidR="00E70F20" w:rsidRPr="00B32174" w14:paraId="17745337" w14:textId="77777777" w:rsidTr="00680A7E">
        <w:trPr>
          <w:trHeight w:val="270"/>
        </w:trPr>
        <w:tc>
          <w:tcPr>
            <w:tcW w:w="12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96AAB21" w14:textId="77777777" w:rsidR="00E70F20" w:rsidRPr="00B32174" w:rsidRDefault="00E70F20" w:rsidP="00680A7E">
            <w:pPr>
              <w:spacing w:after="0" w:line="276" w:lineRule="auto"/>
              <w:ind w:left="116" w:right="171"/>
              <w:jc w:val="both"/>
              <w:rPr>
                <w:rFonts w:ascii="Calibri" w:eastAsia="Times New Roman" w:hAnsi="Calibri" w:cs="Calibri"/>
              </w:rPr>
            </w:pPr>
            <w:r w:rsidRPr="00B32174">
              <w:rPr>
                <w:rFonts w:ascii="Times New Roman" w:eastAsia="Times New Roman" w:hAnsi="Times New Roman" w:cs="Times New Roman"/>
                <w:sz w:val="24"/>
                <w:szCs w:val="24"/>
              </w:rPr>
              <w:t>2021-22</w:t>
            </w:r>
          </w:p>
        </w:tc>
        <w:tc>
          <w:tcPr>
            <w:tcW w:w="1890" w:type="dxa"/>
            <w:tcBorders>
              <w:top w:val="nil"/>
              <w:left w:val="nil"/>
              <w:bottom w:val="single" w:sz="8" w:space="0" w:color="auto"/>
              <w:right w:val="single" w:sz="8" w:space="0" w:color="auto"/>
            </w:tcBorders>
            <w:tcMar>
              <w:top w:w="0" w:type="dxa"/>
              <w:left w:w="15" w:type="dxa"/>
              <w:bottom w:w="0" w:type="dxa"/>
              <w:right w:w="15" w:type="dxa"/>
            </w:tcMar>
            <w:hideMark/>
          </w:tcPr>
          <w:p w14:paraId="5C33C06B" w14:textId="77777777" w:rsidR="00E70F20" w:rsidRPr="00B32174" w:rsidRDefault="00E70F20" w:rsidP="00680A7E">
            <w:pPr>
              <w:spacing w:after="0" w:line="276" w:lineRule="auto"/>
              <w:ind w:left="116" w:right="171"/>
              <w:jc w:val="right"/>
              <w:rPr>
                <w:rFonts w:ascii="Calibri" w:eastAsia="Times New Roman" w:hAnsi="Calibri" w:cs="Calibri"/>
              </w:rPr>
            </w:pPr>
            <w:r w:rsidRPr="00B32174">
              <w:rPr>
                <w:rFonts w:ascii="Times New Roman" w:eastAsia="Times New Roman" w:hAnsi="Times New Roman" w:cs="Times New Roman"/>
                <w:sz w:val="24"/>
                <w:szCs w:val="24"/>
              </w:rPr>
              <w:t>7,202.00</w:t>
            </w:r>
          </w:p>
        </w:tc>
        <w:tc>
          <w:tcPr>
            <w:tcW w:w="1800" w:type="dxa"/>
            <w:tcBorders>
              <w:top w:val="nil"/>
              <w:left w:val="nil"/>
              <w:bottom w:val="single" w:sz="8" w:space="0" w:color="auto"/>
              <w:right w:val="single" w:sz="8" w:space="0" w:color="auto"/>
            </w:tcBorders>
            <w:tcMar>
              <w:top w:w="0" w:type="dxa"/>
              <w:left w:w="15" w:type="dxa"/>
              <w:bottom w:w="0" w:type="dxa"/>
              <w:right w:w="15" w:type="dxa"/>
            </w:tcMar>
            <w:vAlign w:val="center"/>
            <w:hideMark/>
          </w:tcPr>
          <w:p w14:paraId="4869A1E3" w14:textId="77777777" w:rsidR="00E70F20" w:rsidRPr="00B32174" w:rsidRDefault="00E70F20" w:rsidP="00680A7E">
            <w:pPr>
              <w:spacing w:after="0" w:line="276" w:lineRule="auto"/>
              <w:ind w:left="116" w:right="171"/>
              <w:jc w:val="center"/>
              <w:rPr>
                <w:rFonts w:ascii="Calibri" w:eastAsia="Times New Roman" w:hAnsi="Calibri" w:cs="Calibri"/>
              </w:rPr>
            </w:pPr>
            <w:r w:rsidRPr="00B32174">
              <w:rPr>
                <w:rFonts w:ascii="Times New Roman" w:eastAsia="Times New Roman" w:hAnsi="Times New Roman" w:cs="Times New Roman"/>
                <w:sz w:val="24"/>
                <w:szCs w:val="24"/>
              </w:rPr>
              <w:t>14 %</w:t>
            </w:r>
          </w:p>
        </w:tc>
      </w:tr>
      <w:tr w:rsidR="00E70F20" w:rsidRPr="00B32174" w14:paraId="2BF45F87" w14:textId="77777777" w:rsidTr="00680A7E">
        <w:trPr>
          <w:trHeight w:val="270"/>
        </w:trPr>
        <w:tc>
          <w:tcPr>
            <w:tcW w:w="1212"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4A91EF9" w14:textId="77777777" w:rsidR="00E70F20" w:rsidRPr="00B32174" w:rsidRDefault="00E70F20" w:rsidP="00680A7E">
            <w:pPr>
              <w:spacing w:after="0" w:line="276" w:lineRule="auto"/>
              <w:ind w:left="116" w:right="171"/>
              <w:jc w:val="both"/>
              <w:rPr>
                <w:rFonts w:ascii="Calibri" w:eastAsia="Times New Roman" w:hAnsi="Calibri" w:cs="Calibri"/>
              </w:rPr>
            </w:pPr>
            <w:r w:rsidRPr="00B32174">
              <w:rPr>
                <w:rFonts w:ascii="Times New Roman" w:eastAsia="Times New Roman" w:hAnsi="Times New Roman" w:cs="Times New Roman"/>
                <w:sz w:val="24"/>
                <w:szCs w:val="24"/>
              </w:rPr>
              <w:t>2022-23</w:t>
            </w:r>
          </w:p>
        </w:tc>
        <w:tc>
          <w:tcPr>
            <w:tcW w:w="1890" w:type="dxa"/>
            <w:tcBorders>
              <w:top w:val="nil"/>
              <w:left w:val="nil"/>
              <w:bottom w:val="single" w:sz="8" w:space="0" w:color="auto"/>
              <w:right w:val="single" w:sz="8" w:space="0" w:color="auto"/>
            </w:tcBorders>
            <w:tcMar>
              <w:top w:w="0" w:type="dxa"/>
              <w:left w:w="15" w:type="dxa"/>
              <w:bottom w:w="0" w:type="dxa"/>
              <w:right w:w="15" w:type="dxa"/>
            </w:tcMar>
            <w:hideMark/>
          </w:tcPr>
          <w:p w14:paraId="471626ED" w14:textId="77777777" w:rsidR="00E70F20" w:rsidRPr="00B32174" w:rsidRDefault="00E70F20" w:rsidP="00680A7E">
            <w:pPr>
              <w:spacing w:after="0" w:line="276" w:lineRule="auto"/>
              <w:ind w:left="116" w:right="171"/>
              <w:jc w:val="right"/>
              <w:rPr>
                <w:rFonts w:ascii="Calibri" w:eastAsia="Times New Roman" w:hAnsi="Calibri" w:cs="Calibri"/>
              </w:rPr>
            </w:pPr>
            <w:r w:rsidRPr="00B32174">
              <w:rPr>
                <w:rFonts w:ascii="Times New Roman" w:eastAsia="Times New Roman" w:hAnsi="Times New Roman" w:cs="Times New Roman"/>
                <w:sz w:val="24"/>
                <w:szCs w:val="24"/>
              </w:rPr>
              <w:t>14,662.00</w:t>
            </w:r>
          </w:p>
        </w:tc>
        <w:tc>
          <w:tcPr>
            <w:tcW w:w="1800" w:type="dxa"/>
            <w:tcBorders>
              <w:top w:val="nil"/>
              <w:left w:val="nil"/>
              <w:bottom w:val="single" w:sz="8" w:space="0" w:color="auto"/>
              <w:right w:val="single" w:sz="8" w:space="0" w:color="auto"/>
            </w:tcBorders>
            <w:tcMar>
              <w:top w:w="0" w:type="dxa"/>
              <w:left w:w="15" w:type="dxa"/>
              <w:bottom w:w="0" w:type="dxa"/>
              <w:right w:w="15" w:type="dxa"/>
            </w:tcMar>
            <w:vAlign w:val="center"/>
            <w:hideMark/>
          </w:tcPr>
          <w:p w14:paraId="37E01E3A" w14:textId="77777777" w:rsidR="00E70F20" w:rsidRPr="00B32174" w:rsidRDefault="00E70F20" w:rsidP="00680A7E">
            <w:pPr>
              <w:spacing w:after="0" w:line="276" w:lineRule="auto"/>
              <w:ind w:left="116" w:right="171"/>
              <w:jc w:val="center"/>
              <w:rPr>
                <w:rFonts w:ascii="Calibri" w:eastAsia="Times New Roman" w:hAnsi="Calibri" w:cs="Calibri"/>
              </w:rPr>
            </w:pPr>
            <w:r w:rsidRPr="00B32174">
              <w:rPr>
                <w:rFonts w:ascii="Times New Roman" w:eastAsia="Times New Roman" w:hAnsi="Times New Roman" w:cs="Times New Roman"/>
                <w:sz w:val="24"/>
                <w:szCs w:val="24"/>
              </w:rPr>
              <w:t>103%</w:t>
            </w:r>
          </w:p>
        </w:tc>
      </w:tr>
    </w:tbl>
    <w:p w14:paraId="59018A52" w14:textId="77777777" w:rsidR="00E70F20" w:rsidRPr="00140CF0" w:rsidRDefault="00E70F20" w:rsidP="00E70F20">
      <w:pPr>
        <w:spacing w:after="0" w:line="256" w:lineRule="auto"/>
        <w:jc w:val="both"/>
        <w:rPr>
          <w:color w:val="000000" w:themeColor="text1"/>
        </w:rPr>
      </w:pPr>
      <w:r w:rsidRPr="00B32174">
        <w:rPr>
          <w:rFonts w:ascii="Times New Roman" w:eastAsia="Times New Roman" w:hAnsi="Times New Roman" w:cs="Times New Roman"/>
          <w:b/>
          <w:bCs/>
          <w:color w:val="000000"/>
          <w:sz w:val="24"/>
          <w:szCs w:val="24"/>
        </w:rPr>
        <w:t> </w:t>
      </w:r>
    </w:p>
    <w:p w14:paraId="2B24422F" w14:textId="77777777" w:rsidR="00E70F20" w:rsidRPr="00140CF0" w:rsidRDefault="00E70F20" w:rsidP="00E70F20">
      <w:pPr>
        <w:pStyle w:val="NormalWeb"/>
        <w:shd w:val="clear" w:color="auto" w:fill="FFFFFF"/>
        <w:spacing w:before="0" w:beforeAutospacing="0" w:after="0" w:afterAutospacing="0" w:line="276" w:lineRule="auto"/>
        <w:jc w:val="both"/>
        <w:rPr>
          <w:color w:val="000000" w:themeColor="text1"/>
        </w:rPr>
      </w:pPr>
      <w:r>
        <w:rPr>
          <w:color w:val="000000" w:themeColor="text1"/>
        </w:rPr>
        <w:t>3.</w:t>
      </w:r>
      <w:r>
        <w:rPr>
          <w:color w:val="000000" w:themeColor="text1"/>
        </w:rPr>
        <w:tab/>
      </w:r>
      <w:r w:rsidRPr="00140CF0">
        <w:rPr>
          <w:color w:val="000000" w:themeColor="text1"/>
        </w:rPr>
        <w:t xml:space="preserve">To seize the opportunity to establish India as a leading chemicals &amp; petrochemicals manufacturing hub, Department of Chemicals and Petrochemicals has been organizing the Summit biennially since 2019. </w:t>
      </w:r>
      <w:r>
        <w:rPr>
          <w:color w:val="000000"/>
        </w:rPr>
        <w:t>T</w:t>
      </w:r>
      <w:r w:rsidRPr="00B32174">
        <w:rPr>
          <w:color w:val="000000"/>
        </w:rPr>
        <w:t xml:space="preserve">he “Global Chemicals and Petrochemicals Manufacturing Hubs” (GCPMH) Summit </w:t>
      </w:r>
      <w:r w:rsidRPr="00B32174">
        <w:t>is one of the largest composite biennial event for promotion of Chemical and petrochemical manufacturing hubs in India.</w:t>
      </w:r>
      <w:r>
        <w:t xml:space="preserve"> </w:t>
      </w:r>
      <w:r w:rsidRPr="00140CF0">
        <w:rPr>
          <w:color w:val="000000" w:themeColor="text1"/>
        </w:rPr>
        <w:t>The previous editions have received immense response and participation from the industries. Looking at the success of the previous editions, Department is once again offering this opportunity to the chemicals and petrochemicals industry to interact and forge alliances in pursuance to the objective of making India as Global Manufacturing hub with “Sustainability and Circularity”. India is hosting the G-20 presidency which enables us to showcase our leadership to the world and highlights our strengths in the sector.</w:t>
      </w:r>
    </w:p>
    <w:p w14:paraId="290BC91C" w14:textId="77777777" w:rsidR="00E70F20" w:rsidRDefault="00E70F20" w:rsidP="00E70F20">
      <w:pPr>
        <w:pStyle w:val="NormalWeb"/>
        <w:shd w:val="clear" w:color="auto" w:fill="FFFFFF"/>
        <w:spacing w:before="0" w:beforeAutospacing="0" w:after="0" w:afterAutospacing="0"/>
        <w:jc w:val="both"/>
        <w:rPr>
          <w:color w:val="000000" w:themeColor="text1"/>
        </w:rPr>
      </w:pPr>
    </w:p>
    <w:p w14:paraId="442F0E50" w14:textId="77777777" w:rsidR="00E70F20" w:rsidRDefault="00E70F20" w:rsidP="00E70F2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Pr="00B32174">
        <w:rPr>
          <w:rFonts w:ascii="Times New Roman" w:eastAsia="Times New Roman" w:hAnsi="Times New Roman" w:cs="Times New Roman"/>
          <w:color w:val="000000"/>
          <w:sz w:val="24"/>
          <w:szCs w:val="24"/>
        </w:rPr>
        <w:t>The main objectives of the 3</w:t>
      </w:r>
      <w:r w:rsidRPr="00B32174">
        <w:rPr>
          <w:rFonts w:ascii="Times New Roman" w:eastAsia="Times New Roman" w:hAnsi="Times New Roman" w:cs="Times New Roman"/>
          <w:color w:val="000000"/>
          <w:sz w:val="24"/>
          <w:szCs w:val="24"/>
          <w:vertAlign w:val="superscript"/>
        </w:rPr>
        <w:t>rd</w:t>
      </w:r>
      <w:r w:rsidRPr="00B32174">
        <w:rPr>
          <w:rFonts w:ascii="Times New Roman" w:eastAsia="Times New Roman" w:hAnsi="Times New Roman" w:cs="Times New Roman"/>
          <w:color w:val="000000"/>
          <w:sz w:val="24"/>
          <w:szCs w:val="24"/>
        </w:rPr>
        <w:t xml:space="preserve"> GCPMH 2023 are as under:  </w:t>
      </w:r>
    </w:p>
    <w:p w14:paraId="5C44F66A" w14:textId="77777777" w:rsidR="00E70F20" w:rsidRPr="00B32174" w:rsidRDefault="00E70F20" w:rsidP="00E70F20">
      <w:pPr>
        <w:spacing w:after="0" w:line="276" w:lineRule="auto"/>
        <w:jc w:val="both"/>
        <w:rPr>
          <w:rFonts w:ascii="Calibri" w:eastAsia="Times New Roman" w:hAnsi="Calibri" w:cs="Calibri"/>
        </w:rPr>
      </w:pPr>
    </w:p>
    <w:p w14:paraId="5CAE3B2A"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Highlighting and promoting segment-wise investment opportunities in respective investment regions.</w:t>
      </w:r>
    </w:p>
    <w:p w14:paraId="2320A15C"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lastRenderedPageBreak/>
        <w:t>Showcasing the roadmap for Infrastructure development and its up-gradation plan</w:t>
      </w:r>
    </w:p>
    <w:p w14:paraId="35DB1DDD"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Devising strategies (anchor tenant) for feed-stock availability</w:t>
      </w:r>
    </w:p>
    <w:p w14:paraId="32158027"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Demonstrate the benefits of co-siting, networking, and greater efficiency using common infrastructure and support services.</w:t>
      </w:r>
    </w:p>
    <w:p w14:paraId="7DE21BFA"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Highlighting the initiatives undertaken by Government of India to facilitate the growth of the sector</w:t>
      </w:r>
    </w:p>
    <w:p w14:paraId="66582E6B"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To boost domestic manufacturing and exports</w:t>
      </w:r>
    </w:p>
    <w:p w14:paraId="5FF9AE96"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Promoting research and development and scope of technology transfer and Skill Development in the Chemical and Petrochemical sector</w:t>
      </w:r>
    </w:p>
    <w:p w14:paraId="08ABAA08"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Promoting sustainability initiatives for comprehensive development of the industry</w:t>
      </w:r>
    </w:p>
    <w:p w14:paraId="3CA699D9"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Industry excellence awards to recognize innovative work and boost innovation in the industry</w:t>
      </w:r>
    </w:p>
    <w:p w14:paraId="5E68E25C" w14:textId="77777777" w:rsidR="00E70F20" w:rsidRPr="00B32174" w:rsidRDefault="00E70F20" w:rsidP="00E70F20">
      <w:pPr>
        <w:numPr>
          <w:ilvl w:val="0"/>
          <w:numId w:val="1"/>
        </w:numPr>
        <w:spacing w:after="0" w:line="276" w:lineRule="auto"/>
        <w:ind w:hanging="720"/>
        <w:jc w:val="both"/>
        <w:rPr>
          <w:rFonts w:ascii="undefined" w:eastAsia="Times New Roman" w:hAnsi="undefined" w:cs="Times New Roman"/>
          <w:sz w:val="21"/>
          <w:szCs w:val="21"/>
        </w:rPr>
      </w:pPr>
      <w:r w:rsidRPr="00B32174">
        <w:rPr>
          <w:rFonts w:ascii="Times New Roman" w:eastAsia="Times New Roman" w:hAnsi="Times New Roman" w:cs="Times New Roman"/>
          <w:color w:val="000000"/>
          <w:sz w:val="24"/>
          <w:szCs w:val="24"/>
        </w:rPr>
        <w:t>Development of alternative, disruptive and sustainable solutions/ business practices</w:t>
      </w:r>
      <w:r w:rsidRPr="00B32174">
        <w:rPr>
          <w:rFonts w:ascii="Times New Roman" w:eastAsia="Times New Roman" w:hAnsi="Times New Roman" w:cs="Times New Roman"/>
          <w:sz w:val="24"/>
          <w:szCs w:val="24"/>
        </w:rPr>
        <w:t>.</w:t>
      </w:r>
      <w:r w:rsidRPr="00B32174">
        <w:rPr>
          <w:rFonts w:ascii="undefined" w:eastAsia="Times New Roman" w:hAnsi="undefined" w:cs="Times New Roman"/>
          <w:sz w:val="21"/>
          <w:szCs w:val="21"/>
        </w:rPr>
        <w:t> </w:t>
      </w:r>
      <w:r w:rsidRPr="00B32174">
        <w:rPr>
          <w:rFonts w:ascii="undefined" w:eastAsia="Times New Roman" w:hAnsi="undefined" w:cs="Times New Roman"/>
          <w:sz w:val="21"/>
          <w:szCs w:val="21"/>
        </w:rPr>
        <w:t> </w:t>
      </w:r>
    </w:p>
    <w:p w14:paraId="78C0DD07" w14:textId="77777777" w:rsidR="00E70F20" w:rsidRPr="00B32174" w:rsidRDefault="00E70F20" w:rsidP="00E70F20">
      <w:pPr>
        <w:spacing w:after="0" w:line="256" w:lineRule="auto"/>
        <w:jc w:val="both"/>
        <w:rPr>
          <w:rFonts w:ascii="Calibri" w:eastAsia="Times New Roman" w:hAnsi="Calibri" w:cs="Calibri"/>
        </w:rPr>
      </w:pPr>
      <w:r w:rsidRPr="00B32174">
        <w:rPr>
          <w:rFonts w:ascii="Times New Roman" w:eastAsia="Times New Roman" w:hAnsi="Times New Roman" w:cs="Times New Roman"/>
          <w:sz w:val="24"/>
          <w:szCs w:val="24"/>
        </w:rPr>
        <w:t> </w:t>
      </w:r>
    </w:p>
    <w:p w14:paraId="19EC4E2E" w14:textId="77777777" w:rsidR="00E70F20" w:rsidRDefault="00E70F20" w:rsidP="00E70F20">
      <w:pPr>
        <w:pStyle w:val="NormalWeb"/>
        <w:shd w:val="clear" w:color="auto" w:fill="FFFFFF"/>
        <w:spacing w:before="0" w:beforeAutospacing="0" w:after="0" w:afterAutospacing="0" w:line="276" w:lineRule="auto"/>
        <w:jc w:val="both"/>
      </w:pPr>
      <w:r>
        <w:rPr>
          <w:color w:val="000000" w:themeColor="text1"/>
        </w:rPr>
        <w:t>5</w:t>
      </w:r>
      <w:r w:rsidRPr="00140CF0">
        <w:rPr>
          <w:color w:val="000000" w:themeColor="text1"/>
        </w:rPr>
        <w:t>.</w:t>
      </w:r>
      <w:r w:rsidRPr="00140CF0">
        <w:rPr>
          <w:color w:val="000000" w:themeColor="text1"/>
        </w:rPr>
        <w:tab/>
        <w:t>The summit will bring together global leaders, CEOs, government authorities, key industry players, state governments and subject matter experts from around the globe in an open dialogue to discuss the key developments, sectoral issues and the way forward with respect to Indian chemicals and petrochemicals industry. It will help to develop possible strategies, sharing insights, exploring opportunities and addressing challenges which will shape the Chemicals and Petrochemicals Industry in India and across the world in the next decade.  </w:t>
      </w:r>
      <w:r>
        <w:t xml:space="preserve"> </w:t>
      </w:r>
    </w:p>
    <w:p w14:paraId="197FFF46" w14:textId="77777777" w:rsidR="00E70F20" w:rsidRDefault="00E70F20" w:rsidP="00E70F20">
      <w:pPr>
        <w:spacing w:after="0" w:line="256" w:lineRule="auto"/>
        <w:jc w:val="both"/>
        <w:rPr>
          <w:rFonts w:ascii="Times New Roman" w:eastAsia="Times New Roman" w:hAnsi="Times New Roman" w:cs="Times New Roman"/>
          <w:b/>
          <w:bCs/>
          <w:color w:val="000000"/>
          <w:sz w:val="24"/>
          <w:szCs w:val="24"/>
        </w:rPr>
      </w:pPr>
    </w:p>
    <w:p w14:paraId="5E70DB9F" w14:textId="77777777" w:rsidR="00E70F20" w:rsidRPr="001135B0" w:rsidRDefault="00E70F20" w:rsidP="00E70F20">
      <w:pPr>
        <w:pStyle w:val="NormalWeb"/>
        <w:shd w:val="clear" w:color="auto" w:fill="FFFFFF"/>
        <w:spacing w:before="0" w:beforeAutospacing="0" w:after="0" w:afterAutospacing="0" w:line="276" w:lineRule="auto"/>
        <w:jc w:val="both"/>
        <w:rPr>
          <w:color w:val="000000" w:themeColor="text1"/>
        </w:rPr>
      </w:pPr>
      <w:r>
        <w:rPr>
          <w:color w:val="000000" w:themeColor="text1"/>
        </w:rPr>
        <w:t>5.</w:t>
      </w:r>
      <w:r>
        <w:rPr>
          <w:color w:val="000000" w:themeColor="text1"/>
        </w:rPr>
        <w:tab/>
      </w:r>
      <w:r w:rsidRPr="001135B0">
        <w:rPr>
          <w:color w:val="000000" w:themeColor="text1"/>
        </w:rPr>
        <w:t xml:space="preserve">A copy of the "GCPMH 2023" brochure and Indicative Program are enclosed. </w:t>
      </w:r>
      <w:r>
        <w:rPr>
          <w:color w:val="000000" w:themeColor="text1"/>
        </w:rPr>
        <w:t xml:space="preserve">Further details may be seen at </w:t>
      </w:r>
      <w:r w:rsidRPr="001135B0">
        <w:rPr>
          <w:color w:val="000000" w:themeColor="text1"/>
        </w:rPr>
        <w:t xml:space="preserve">website: </w:t>
      </w:r>
      <w:hyperlink r:id="rId5" w:history="1">
        <w:r w:rsidRPr="00C43354">
          <w:rPr>
            <w:rStyle w:val="Kpr"/>
            <w:color w:val="000000" w:themeColor="text1"/>
            <w:u w:val="none"/>
          </w:rPr>
          <w:t>www.gcpmh.in</w:t>
        </w:r>
      </w:hyperlink>
      <w:r w:rsidRPr="00C43354">
        <w:rPr>
          <w:rStyle w:val="Kpr"/>
          <w:color w:val="000000" w:themeColor="text1"/>
          <w:u w:val="none"/>
        </w:rPr>
        <w:t>.</w:t>
      </w:r>
      <w:r>
        <w:rPr>
          <w:rStyle w:val="Kpr"/>
          <w:color w:val="000000" w:themeColor="text1"/>
        </w:rPr>
        <w:t xml:space="preserve"> </w:t>
      </w:r>
      <w:r w:rsidRPr="00C43354">
        <w:rPr>
          <w:rStyle w:val="Kpr"/>
          <w:color w:val="000000" w:themeColor="text1"/>
          <w:u w:val="none"/>
        </w:rPr>
        <w:t>The delegation can join the Summit by registering at the link:  https://ficci.in/registration/invitee-form.asp?evid=26544</w:t>
      </w:r>
    </w:p>
    <w:p w14:paraId="2AA64FA2" w14:textId="77777777" w:rsidR="00E70F20" w:rsidRPr="00B32174" w:rsidRDefault="00E70F20" w:rsidP="00E70F20">
      <w:pPr>
        <w:spacing w:after="0" w:line="256" w:lineRule="auto"/>
        <w:jc w:val="both"/>
        <w:rPr>
          <w:rFonts w:ascii="Calibri" w:eastAsia="Times New Roman" w:hAnsi="Calibri" w:cs="Calibri"/>
        </w:rPr>
      </w:pPr>
      <w:r w:rsidRPr="00B32174">
        <w:rPr>
          <w:rFonts w:ascii="Times New Roman" w:eastAsia="Times New Roman" w:hAnsi="Times New Roman" w:cs="Times New Roman"/>
          <w:b/>
          <w:bCs/>
          <w:color w:val="000000"/>
          <w:sz w:val="24"/>
          <w:szCs w:val="24"/>
        </w:rPr>
        <w:t> </w:t>
      </w:r>
    </w:p>
    <w:p w14:paraId="4949D0C5" w14:textId="77777777" w:rsidR="0004574C" w:rsidRDefault="00E70F20" w:rsidP="00E70F20">
      <w:pPr>
        <w:jc w:val="center"/>
      </w:pPr>
      <w:r>
        <w:rPr>
          <w:rFonts w:ascii="Times New Roman" w:eastAsia="Times New Roman" w:hAnsi="Times New Roman" w:cs="Times New Roman"/>
          <w:sz w:val="24"/>
          <w:szCs w:val="24"/>
          <w:lang w:eastAsia="en-IN"/>
        </w:rPr>
        <w:t>*****</w:t>
      </w:r>
    </w:p>
    <w:sectPr w:rsidR="0004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undefin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71BAC"/>
    <w:multiLevelType w:val="multilevel"/>
    <w:tmpl w:val="B5EE0868"/>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80249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20"/>
    <w:rsid w:val="0004574C"/>
    <w:rsid w:val="00DC2715"/>
    <w:rsid w:val="00E7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4E1B"/>
  <w15:chartTrackingRefBased/>
  <w15:docId w15:val="{34C3D3B8-B95E-4CCC-9EE6-50D10ECF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0F2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E70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cpmh.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Semanur Sarıçam</cp:lastModifiedBy>
  <cp:revision>2</cp:revision>
  <dcterms:created xsi:type="dcterms:W3CDTF">2023-07-13T11:17:00Z</dcterms:created>
  <dcterms:modified xsi:type="dcterms:W3CDTF">2023-07-13T11:17:00Z</dcterms:modified>
</cp:coreProperties>
</file>