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E2387" w14:textId="01DB5C79" w:rsidR="00F43D77" w:rsidRDefault="00B77D3B">
      <w:pPr>
        <w:spacing w:after="426" w:line="259" w:lineRule="auto"/>
        <w:ind w:left="4145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53F53EE" wp14:editId="39838084">
            <wp:simplePos x="0" y="0"/>
            <wp:positionH relativeFrom="column">
              <wp:posOffset>5377180</wp:posOffset>
            </wp:positionH>
            <wp:positionV relativeFrom="paragraph">
              <wp:posOffset>-38257</wp:posOffset>
            </wp:positionV>
            <wp:extent cx="1231900" cy="1231900"/>
            <wp:effectExtent l="0" t="0" r="0" b="0"/>
            <wp:wrapSquare wrapText="bothSides"/>
            <wp:docPr id="350" name="Picture 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Picture 3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4E6247E" wp14:editId="0C12B5C4">
            <wp:simplePos x="0" y="0"/>
            <wp:positionH relativeFrom="column">
              <wp:posOffset>-189546</wp:posOffset>
            </wp:positionH>
            <wp:positionV relativeFrom="paragraph">
              <wp:posOffset>6438</wp:posOffset>
            </wp:positionV>
            <wp:extent cx="1231900" cy="923925"/>
            <wp:effectExtent l="0" t="0" r="0" b="0"/>
            <wp:wrapSquare wrapText="bothSides"/>
            <wp:docPr id="348" name="Picture 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Picture 3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990000"/>
        </w:rPr>
        <w:t xml:space="preserve"> </w:t>
      </w:r>
    </w:p>
    <w:p w14:paraId="0455B269" w14:textId="77777777" w:rsidR="00F43D77" w:rsidRDefault="00B77D3B">
      <w:pPr>
        <w:spacing w:after="44"/>
        <w:jc w:val="center"/>
      </w:pPr>
      <w:r>
        <w:t>T.C.</w:t>
      </w:r>
    </w:p>
    <w:p w14:paraId="66AA1ABE" w14:textId="77777777" w:rsidR="00F43D77" w:rsidRDefault="00B77D3B">
      <w:pPr>
        <w:spacing w:after="44"/>
        <w:ind w:right="9"/>
        <w:jc w:val="center"/>
      </w:pPr>
      <w:r>
        <w:t>TİCARET BAKANLIĞI</w:t>
      </w:r>
    </w:p>
    <w:p w14:paraId="26D0D87F" w14:textId="77777777" w:rsidR="00F43D77" w:rsidRDefault="00B77D3B">
      <w:pPr>
        <w:spacing w:after="361"/>
        <w:ind w:right="9"/>
        <w:jc w:val="center"/>
      </w:pPr>
      <w:r>
        <w:t>Gümrükler Genel Müdürlüğü</w:t>
      </w:r>
    </w:p>
    <w:p w14:paraId="350E4213" w14:textId="77777777" w:rsidR="00F43D77" w:rsidRDefault="00B77D3B">
      <w:pPr>
        <w:tabs>
          <w:tab w:val="center" w:pos="2455"/>
          <w:tab w:val="right" w:pos="10205"/>
        </w:tabs>
        <w:spacing w:after="31"/>
        <w:ind w:left="-15" w:right="0" w:firstLine="0"/>
        <w:jc w:val="left"/>
      </w:pPr>
      <w:r>
        <w:t>Sayı</w:t>
      </w:r>
      <w:r>
        <w:tab/>
      </w:r>
      <w:r>
        <w:rPr>
          <w:sz w:val="22"/>
        </w:rPr>
        <w:t xml:space="preserve">: </w:t>
      </w:r>
      <w:r>
        <w:t>E-96603261-120.99-00109850734</w:t>
      </w:r>
      <w:r>
        <w:tab/>
        <w:t>30.05.2025</w:t>
      </w:r>
    </w:p>
    <w:p w14:paraId="7F09A6BE" w14:textId="77777777" w:rsidR="00F43D77" w:rsidRDefault="00B77D3B">
      <w:pPr>
        <w:spacing w:after="1105"/>
        <w:ind w:left="-5" w:right="0"/>
      </w:pPr>
      <w:proofErr w:type="gramStart"/>
      <w:r>
        <w:t xml:space="preserve">Konu </w:t>
      </w:r>
      <w:r>
        <w:rPr>
          <w:sz w:val="22"/>
        </w:rPr>
        <w:t>:</w:t>
      </w:r>
      <w:proofErr w:type="gramEnd"/>
      <w:r>
        <w:rPr>
          <w:sz w:val="22"/>
        </w:rPr>
        <w:t xml:space="preserve"> </w:t>
      </w:r>
      <w:r>
        <w:t>Gürcistan- Ortak Transit Sözleşmesi İşlemleri</w:t>
      </w:r>
    </w:p>
    <w:p w14:paraId="304ED10B" w14:textId="77777777" w:rsidR="00F43D77" w:rsidRDefault="00B77D3B">
      <w:pPr>
        <w:spacing w:after="444"/>
        <w:ind w:right="10"/>
        <w:jc w:val="center"/>
      </w:pPr>
      <w:r>
        <w:t>DAĞITIM YERLERİNE</w:t>
      </w:r>
    </w:p>
    <w:p w14:paraId="5AB65CF3" w14:textId="77777777" w:rsidR="00F43D77" w:rsidRDefault="00B77D3B">
      <w:pPr>
        <w:spacing w:after="87"/>
        <w:ind w:left="577" w:right="0"/>
      </w:pPr>
      <w:r>
        <w:t xml:space="preserve">İlgi: a) 20.01.2025 tarihli, </w:t>
      </w:r>
      <w:r>
        <w:t>105302071 sayılı yazımız.</w:t>
      </w:r>
    </w:p>
    <w:p w14:paraId="2118BAD5" w14:textId="77777777" w:rsidR="00F43D77" w:rsidRDefault="00B77D3B">
      <w:pPr>
        <w:spacing w:after="444"/>
        <w:ind w:left="997" w:right="0"/>
      </w:pPr>
      <w:r>
        <w:t>b) 16.05.2025 tarihli, 109361462 sayılı yazımız.</w:t>
      </w:r>
    </w:p>
    <w:p w14:paraId="4CC44E14" w14:textId="77777777" w:rsidR="00F43D77" w:rsidRDefault="00B77D3B">
      <w:pPr>
        <w:spacing w:after="44"/>
        <w:ind w:left="-15" w:right="0" w:firstLine="567"/>
      </w:pPr>
      <w:r>
        <w:t>İlgi (b)'de kayıtlı yazımız ile, Gürcistan Maliye Bakanlığı Gelir İdaresinden alınan 15 Nisan 2025 tarihli yazıda; 1 Haziran 2025 tarihi itibarıyla Gürcistan ve Ortak Transit Ülkele</w:t>
      </w:r>
      <w:r>
        <w:t>ri varışlı transit taşımaları için NCTS sisteminin kullanımının zorunlu olacağı, alternatif olarak TIR Sözleşmesi hükümleri kapsamında da taşıma yapılabileceği hususunun belirtildiği ifade edilerek konuya ilişkin olarak üyelerinizin bilgilendirilmesi isten</w:t>
      </w:r>
      <w:r>
        <w:t>miştir.</w:t>
      </w:r>
    </w:p>
    <w:p w14:paraId="21F420CC" w14:textId="77777777" w:rsidR="00F43D77" w:rsidRDefault="00B77D3B">
      <w:pPr>
        <w:spacing w:after="44"/>
        <w:ind w:left="-15" w:right="0" w:firstLine="567"/>
      </w:pPr>
      <w:r>
        <w:t>Bu defa, Gürcistan Maliye Bakanlığı Gelir İdaresinden alınan 28.05.2025 tarihli elektronik postada 1 Haziran 2025 olarak duyurulan uygulamanın 1 Temmuz 2025'e ertelendiği bildirilmiştir.</w:t>
      </w:r>
    </w:p>
    <w:p w14:paraId="2D9AE92F" w14:textId="77777777" w:rsidR="00F43D77" w:rsidRDefault="00B77D3B">
      <w:pPr>
        <w:spacing w:after="358"/>
        <w:ind w:left="-15" w:right="0" w:firstLine="567"/>
      </w:pPr>
      <w:r>
        <w:t>Bilgi edinilmesi ile konuya ilişkin olarak üyelerinizin bilgilendirilmesi hususunda gereğini rica ederim.</w:t>
      </w:r>
    </w:p>
    <w:p w14:paraId="2AF076F5" w14:textId="77777777" w:rsidR="00F43D77" w:rsidRDefault="00B77D3B">
      <w:pPr>
        <w:ind w:left="8338" w:right="0" w:hanging="720"/>
      </w:pPr>
      <w:r>
        <w:t>Burak Serkan YAŞAR Bakan a.</w:t>
      </w:r>
    </w:p>
    <w:p w14:paraId="66106866" w14:textId="77777777" w:rsidR="00F43D77" w:rsidRDefault="00B77D3B">
      <w:pPr>
        <w:spacing w:after="287" w:line="259" w:lineRule="auto"/>
        <w:ind w:left="0" w:right="707" w:firstLine="0"/>
        <w:jc w:val="right"/>
      </w:pPr>
      <w:r>
        <w:t>Genel Müdür Yrd.</w:t>
      </w:r>
    </w:p>
    <w:sectPr w:rsidR="00F43D77">
      <w:pgSz w:w="11906" w:h="16838"/>
      <w:pgMar w:top="1440" w:right="846" w:bottom="1440" w:left="8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D77"/>
    <w:rsid w:val="00B77D3B"/>
    <w:rsid w:val="00F4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BA93"/>
  <w15:docId w15:val="{5A1441BA-FC92-4FDB-9A74-10DE78B7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5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 A T S O</dc:creator>
  <cp:keywords/>
  <cp:lastModifiedBy>Ç A T S O</cp:lastModifiedBy>
  <cp:revision>2</cp:revision>
  <dcterms:created xsi:type="dcterms:W3CDTF">2025-06-11T08:07:00Z</dcterms:created>
  <dcterms:modified xsi:type="dcterms:W3CDTF">2025-06-11T08:07:00Z</dcterms:modified>
</cp:coreProperties>
</file>